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CA28CC">
      <w:pPr>
        <w:pStyle w:val="Heading1"/>
        <w:spacing w:after="0"/>
        <w:ind w:right="0"/>
      </w:pPr>
      <w:r>
        <w:t xml:space="preserve">tp systemes mecaniques </w:t>
      </w:r>
    </w:p>
    <w:p w:rsidR="00317EF6" w:rsidRDefault="00317EF6" w:rsidP="00CA28CC">
      <w:pPr>
        <w:pStyle w:val="Heading1"/>
        <w:spacing w:after="0"/>
        <w:ind w:right="0"/>
      </w:pPr>
      <w:r>
        <w:t>(30 periodes)</w:t>
      </w:r>
    </w:p>
    <w:p w:rsidR="00317EF6" w:rsidRDefault="00317EF6" w:rsidP="00CA28CC">
      <w:pPr>
        <w:rPr>
          <w:lang w:val="fr-FR"/>
        </w:rPr>
      </w:pPr>
    </w:p>
    <w:p w:rsidR="00317EF6" w:rsidRDefault="00317EF6" w:rsidP="00CA28CC">
      <w:pPr>
        <w:rPr>
          <w:b/>
          <w:bCs/>
          <w:sz w:val="32"/>
          <w:szCs w:val="32"/>
          <w:u w:val="single"/>
          <w:lang w:val="fr-FR"/>
        </w:rPr>
      </w:pPr>
      <w:r w:rsidRPr="00592B92">
        <w:rPr>
          <w:b/>
          <w:bCs/>
          <w:sz w:val="32"/>
          <w:szCs w:val="32"/>
          <w:u w:val="single"/>
          <w:lang w:val="fr-FR"/>
        </w:rPr>
        <w:t>Contenu</w:t>
      </w:r>
    </w:p>
    <w:p w:rsidR="00317EF6" w:rsidRPr="00A57D7E" w:rsidRDefault="00317EF6" w:rsidP="00CA28CC">
      <w:pPr>
        <w:pStyle w:val="Title"/>
        <w:rPr>
          <w:lang w:val="fr-FR"/>
        </w:rPr>
      </w:pPr>
      <w:r w:rsidRPr="00A57D7E">
        <w:rPr>
          <w:lang w:val="fr-FR"/>
        </w:rPr>
        <w:t>TP 1</w:t>
      </w:r>
    </w:p>
    <w:p w:rsidR="00317EF6" w:rsidRPr="00A50E20" w:rsidRDefault="00317EF6" w:rsidP="00CA28CC">
      <w:pPr>
        <w:pStyle w:val="Title"/>
        <w:rPr>
          <w:lang w:val="fr-FR"/>
        </w:rPr>
      </w:pPr>
      <w:r w:rsidRPr="00A50E20">
        <w:rPr>
          <w:lang w:val="fr-FR"/>
        </w:rPr>
        <w:t>Les assemblages rigides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1.1</w:t>
      </w:r>
      <w:r>
        <w:rPr>
          <w:rFonts w:ascii="Arial" w:hAnsi="Arial"/>
          <w:sz w:val="22"/>
          <w:szCs w:val="26"/>
          <w:lang w:val="fr-FR"/>
        </w:rPr>
        <w:tab/>
        <w:t>Le contrôle d’un assemblage rigide (soudage, rivetage et boulons)</w:t>
      </w:r>
    </w:p>
    <w:p w:rsidR="00317EF6" w:rsidRPr="00A57D7E" w:rsidRDefault="00317EF6" w:rsidP="00CA28CC">
      <w:pPr>
        <w:pStyle w:val="Title"/>
        <w:rPr>
          <w:lang w:val="fr-FR"/>
        </w:rPr>
      </w:pPr>
      <w:r w:rsidRPr="00A57D7E">
        <w:rPr>
          <w:lang w:val="fr-FR"/>
        </w:rPr>
        <w:t>TP 2</w:t>
      </w:r>
    </w:p>
    <w:p w:rsidR="00317EF6" w:rsidRPr="00A50E20" w:rsidRDefault="00317EF6" w:rsidP="00CA28CC">
      <w:pPr>
        <w:pStyle w:val="Title"/>
        <w:rPr>
          <w:lang w:val="fr-FR"/>
        </w:rPr>
      </w:pPr>
      <w:r w:rsidRPr="00A50E20">
        <w:rPr>
          <w:lang w:val="fr-FR"/>
        </w:rPr>
        <w:t>Les assemblages mobiles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</w:t>
      </w:r>
      <w:r>
        <w:rPr>
          <w:rFonts w:ascii="Arial" w:hAnsi="Arial"/>
          <w:sz w:val="22"/>
          <w:szCs w:val="26"/>
          <w:lang w:val="fr-FR"/>
        </w:rPr>
        <w:tab/>
        <w:t>Le contrôle des assemblages mobiles (clavette cannelure et friction)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</w:t>
      </w:r>
      <w:r>
        <w:rPr>
          <w:rFonts w:ascii="Arial" w:hAnsi="Arial"/>
          <w:sz w:val="22"/>
          <w:szCs w:val="26"/>
          <w:lang w:val="fr-FR"/>
        </w:rPr>
        <w:tab/>
        <w:t xml:space="preserve">La détermination des jeux et des serrages entre les pièces </w:t>
      </w:r>
      <w:proofErr w:type="spellStart"/>
      <w:r>
        <w:rPr>
          <w:rFonts w:ascii="Arial" w:hAnsi="Arial"/>
          <w:sz w:val="22"/>
          <w:szCs w:val="26"/>
          <w:lang w:val="fr-FR"/>
        </w:rPr>
        <w:t>malle</w:t>
      </w:r>
      <w:proofErr w:type="spellEnd"/>
      <w:r>
        <w:rPr>
          <w:rFonts w:ascii="Arial" w:hAnsi="Arial"/>
          <w:sz w:val="22"/>
          <w:szCs w:val="26"/>
          <w:lang w:val="fr-FR"/>
        </w:rPr>
        <w:t xml:space="preserve"> et femelle</w:t>
      </w:r>
    </w:p>
    <w:p w:rsidR="00317EF6" w:rsidRPr="00A57D7E" w:rsidRDefault="00317EF6" w:rsidP="00CA28CC">
      <w:pPr>
        <w:pStyle w:val="Title"/>
        <w:rPr>
          <w:lang w:val="fr-FR"/>
        </w:rPr>
      </w:pPr>
      <w:r w:rsidRPr="00A57D7E">
        <w:rPr>
          <w:lang w:val="fr-FR"/>
        </w:rPr>
        <w:t>TP 3</w:t>
      </w:r>
    </w:p>
    <w:p w:rsidR="00317EF6" w:rsidRPr="00A50E20" w:rsidRDefault="00317EF6" w:rsidP="00CA28CC">
      <w:pPr>
        <w:pStyle w:val="Title"/>
        <w:rPr>
          <w:lang w:val="fr-FR"/>
        </w:rPr>
      </w:pPr>
      <w:r w:rsidRPr="00A50E20">
        <w:rPr>
          <w:lang w:val="fr-FR"/>
        </w:rPr>
        <w:t>Les paliers lisses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</w:t>
      </w:r>
      <w:r>
        <w:rPr>
          <w:rFonts w:ascii="Arial" w:hAnsi="Arial"/>
          <w:sz w:val="22"/>
          <w:szCs w:val="26"/>
          <w:lang w:val="fr-FR"/>
        </w:rPr>
        <w:tab/>
        <w:t>La détermination expérimentale de la pression de l’huile dans un palier lisse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</w:t>
      </w:r>
      <w:r>
        <w:rPr>
          <w:rFonts w:ascii="Arial" w:hAnsi="Arial"/>
          <w:sz w:val="22"/>
          <w:szCs w:val="26"/>
          <w:lang w:val="fr-FR"/>
        </w:rPr>
        <w:tab/>
        <w:t>La détermination de la viscosité de l’huile utilise dans un palier lisse</w:t>
      </w:r>
    </w:p>
    <w:p w:rsidR="00317EF6" w:rsidRPr="00A57D7E" w:rsidRDefault="00317EF6" w:rsidP="00CA28CC">
      <w:pPr>
        <w:pStyle w:val="Title"/>
        <w:rPr>
          <w:lang w:val="fr-FR"/>
        </w:rPr>
      </w:pPr>
      <w:r w:rsidRPr="00A57D7E">
        <w:rPr>
          <w:lang w:val="fr-FR"/>
        </w:rPr>
        <w:t>TP 4</w:t>
      </w:r>
    </w:p>
    <w:p w:rsidR="00317EF6" w:rsidRPr="00815D64" w:rsidRDefault="00317EF6" w:rsidP="00CA28CC">
      <w:pPr>
        <w:pStyle w:val="Title"/>
        <w:rPr>
          <w:lang w:val="fr-FR"/>
        </w:rPr>
      </w:pPr>
      <w:r w:rsidRPr="00815D64">
        <w:rPr>
          <w:lang w:val="fr-FR"/>
        </w:rPr>
        <w:t>Les roulements</w:t>
      </w:r>
    </w:p>
    <w:p w:rsidR="00317EF6" w:rsidRDefault="00317EF6" w:rsidP="00CA28CC">
      <w:pPr>
        <w:widowControl w:val="0"/>
        <w:ind w:left="426" w:hanging="41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4.1</w:t>
      </w:r>
      <w:r>
        <w:rPr>
          <w:rFonts w:ascii="Arial" w:hAnsi="Arial"/>
          <w:sz w:val="22"/>
          <w:szCs w:val="26"/>
          <w:lang w:val="fr-FR"/>
        </w:rPr>
        <w:tab/>
        <w:t xml:space="preserve">Analyse vibratoire 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4.3</w:t>
      </w:r>
      <w:r>
        <w:rPr>
          <w:rFonts w:ascii="Arial" w:hAnsi="Arial"/>
          <w:sz w:val="22"/>
          <w:szCs w:val="26"/>
          <w:lang w:val="fr-FR"/>
        </w:rPr>
        <w:tab/>
        <w:t>L’étude expérimentale de l’étanchéité d’un roulement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4.4</w:t>
      </w:r>
      <w:r>
        <w:rPr>
          <w:rFonts w:ascii="Arial" w:hAnsi="Arial"/>
          <w:sz w:val="22"/>
          <w:szCs w:val="26"/>
          <w:lang w:val="fr-FR"/>
        </w:rPr>
        <w:tab/>
        <w:t>Le montage d’un roulement sur un arbre</w:t>
      </w:r>
    </w:p>
    <w:p w:rsidR="00317EF6" w:rsidRPr="00A57D7E" w:rsidRDefault="00317EF6" w:rsidP="00CA28CC">
      <w:pPr>
        <w:pStyle w:val="Title"/>
        <w:rPr>
          <w:lang w:val="fr-FR"/>
        </w:rPr>
      </w:pPr>
      <w:r w:rsidRPr="00A57D7E">
        <w:rPr>
          <w:lang w:val="fr-FR"/>
        </w:rPr>
        <w:t>TP 5</w:t>
      </w:r>
    </w:p>
    <w:p w:rsidR="00317EF6" w:rsidRPr="00A50E20" w:rsidRDefault="00317EF6" w:rsidP="00CA28CC">
      <w:pPr>
        <w:pStyle w:val="Title"/>
        <w:rPr>
          <w:lang w:val="fr-FR"/>
        </w:rPr>
      </w:pPr>
      <w:r w:rsidRPr="00A50E20">
        <w:rPr>
          <w:lang w:val="fr-FR"/>
        </w:rPr>
        <w:t>Les engrenages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5.1</w:t>
      </w:r>
      <w:r>
        <w:rPr>
          <w:rFonts w:ascii="Arial" w:hAnsi="Arial"/>
          <w:sz w:val="22"/>
          <w:szCs w:val="26"/>
          <w:lang w:val="fr-FR"/>
        </w:rPr>
        <w:tab/>
        <w:t xml:space="preserve">Analyse de l’huile 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5.2</w:t>
      </w:r>
      <w:r>
        <w:rPr>
          <w:rFonts w:ascii="Arial" w:hAnsi="Arial"/>
          <w:sz w:val="22"/>
          <w:szCs w:val="26"/>
          <w:lang w:val="fr-FR"/>
        </w:rPr>
        <w:tab/>
        <w:t xml:space="preserve">Le contrôle du jeu entre les engrenages 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5.3</w:t>
      </w:r>
      <w:r>
        <w:rPr>
          <w:rFonts w:ascii="Arial" w:hAnsi="Arial"/>
          <w:sz w:val="22"/>
          <w:szCs w:val="26"/>
          <w:lang w:val="fr-FR"/>
        </w:rPr>
        <w:tab/>
        <w:t>L’étude expérimentale des détériorations d’un engrenage</w:t>
      </w:r>
    </w:p>
    <w:p w:rsidR="00317EF6" w:rsidRPr="00A57D7E" w:rsidRDefault="00317EF6" w:rsidP="00CA28CC">
      <w:pPr>
        <w:pStyle w:val="Title"/>
        <w:rPr>
          <w:lang w:val="fr-FR"/>
        </w:rPr>
      </w:pPr>
      <w:r w:rsidRPr="00A57D7E">
        <w:rPr>
          <w:lang w:val="fr-FR"/>
        </w:rPr>
        <w:t>TP 6</w:t>
      </w:r>
    </w:p>
    <w:p w:rsidR="00317EF6" w:rsidRPr="00A50E20" w:rsidRDefault="00317EF6" w:rsidP="00CA28CC">
      <w:pPr>
        <w:pStyle w:val="Title"/>
        <w:rPr>
          <w:lang w:val="fr-FR"/>
        </w:rPr>
      </w:pPr>
      <w:r w:rsidRPr="00A50E20">
        <w:rPr>
          <w:lang w:val="fr-FR"/>
        </w:rPr>
        <w:t>Les courroies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5.1</w:t>
      </w:r>
      <w:r>
        <w:rPr>
          <w:rFonts w:ascii="Arial" w:hAnsi="Arial"/>
          <w:sz w:val="22"/>
          <w:szCs w:val="26"/>
          <w:lang w:val="fr-FR"/>
        </w:rPr>
        <w:tab/>
        <w:t>La détermination expérimentale de la tension initiale dans la courroie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5.2</w:t>
      </w:r>
      <w:r>
        <w:rPr>
          <w:rFonts w:ascii="Arial" w:hAnsi="Arial"/>
          <w:sz w:val="22"/>
          <w:szCs w:val="26"/>
          <w:lang w:val="fr-FR"/>
        </w:rPr>
        <w:tab/>
        <w:t>La détermination expérimentale du glissement dans une transmission par courroie</w:t>
      </w:r>
    </w:p>
    <w:p w:rsidR="00317EF6" w:rsidRPr="00A57D7E" w:rsidRDefault="00317EF6" w:rsidP="00CA28CC">
      <w:pPr>
        <w:pStyle w:val="Title"/>
        <w:rPr>
          <w:lang w:val="fr-FR"/>
        </w:rPr>
      </w:pPr>
      <w:r w:rsidRPr="00A57D7E">
        <w:rPr>
          <w:lang w:val="fr-FR"/>
        </w:rPr>
        <w:t>TP 7</w:t>
      </w:r>
    </w:p>
    <w:p w:rsidR="00317EF6" w:rsidRPr="00A50E20" w:rsidRDefault="00317EF6" w:rsidP="00CA28CC">
      <w:pPr>
        <w:pStyle w:val="Title"/>
        <w:rPr>
          <w:lang w:val="fr-FR"/>
        </w:rPr>
      </w:pPr>
      <w:r>
        <w:rPr>
          <w:lang w:val="fr-FR"/>
        </w:rPr>
        <w:t xml:space="preserve">Polariscope 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6.1</w:t>
      </w:r>
      <w:r>
        <w:rPr>
          <w:rFonts w:ascii="Arial" w:hAnsi="Arial"/>
          <w:sz w:val="22"/>
          <w:szCs w:val="26"/>
          <w:lang w:val="fr-FR"/>
        </w:rPr>
        <w:tab/>
        <w:t xml:space="preserve">La concentration des contraintes dans les pièces </w:t>
      </w:r>
    </w:p>
    <w:p w:rsidR="00317EF6" w:rsidRDefault="00317EF6" w:rsidP="00CA28CC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6.2</w:t>
      </w:r>
      <w:r>
        <w:rPr>
          <w:rFonts w:ascii="Arial" w:hAnsi="Arial"/>
          <w:sz w:val="22"/>
          <w:szCs w:val="26"/>
          <w:lang w:val="fr-FR"/>
        </w:rPr>
        <w:tab/>
        <w:t xml:space="preserve">La concentration des contraintes dans l’engrenage </w:t>
      </w:r>
    </w:p>
    <w:p w:rsidR="00317EF6" w:rsidRPr="00815D64" w:rsidRDefault="00317EF6" w:rsidP="00CA28CC">
      <w:pPr>
        <w:widowControl w:val="0"/>
        <w:ind w:left="426" w:hanging="416"/>
        <w:rPr>
          <w:lang w:val="fr-FR"/>
        </w:rPr>
      </w:pPr>
      <w:proofErr w:type="gramStart"/>
      <w:r>
        <w:rPr>
          <w:rFonts w:ascii="Arial" w:hAnsi="Arial"/>
          <w:sz w:val="22"/>
          <w:szCs w:val="26"/>
          <w:lang w:val="fr-FR"/>
        </w:rPr>
        <w:t>6.3  La</w:t>
      </w:r>
      <w:proofErr w:type="gramEnd"/>
      <w:r>
        <w:rPr>
          <w:rFonts w:ascii="Arial" w:hAnsi="Arial"/>
          <w:sz w:val="22"/>
          <w:szCs w:val="26"/>
          <w:lang w:val="fr-FR"/>
        </w:rPr>
        <w:t xml:space="preserve"> distribution irrégulière de la charge sur les billes d’un roulement (défaut de fabrication) 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705E5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D78AC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458EF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C3805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45B64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86B0B-97AE-44CB-83EA-9C5A2CB6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202</cp:revision>
  <cp:lastPrinted>2012-09-25T05:56:00Z</cp:lastPrinted>
  <dcterms:created xsi:type="dcterms:W3CDTF">2012-08-24T05:04:00Z</dcterms:created>
  <dcterms:modified xsi:type="dcterms:W3CDTF">2019-07-24T07:00:00Z</dcterms:modified>
</cp:coreProperties>
</file>